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https://sfchronicle.com</w:t>
      </w:r>
    </w:p>
    <w:p>
      <w:pPr>
        <w:spacing w:after="60" w:before="60"/>
        <w:jc w:val="center"/>
      </w:pPr>
      <w:r>
        <w:rPr>
          <w:rFonts w:ascii="Arial" w:cs="Arial" w:eastAsia="Arial" w:hAnsi="Arial"/>
          <w:color w:val="555555"/>
          <w:sz w:val="22"/>
          <w:szCs w:val="22"/>
        </w:rPr>
        <w:t xml:space="preserve">Test date: 2026-03-31</w:t>
      </w:r>
    </w:p>
    <w:p>
      <w:pPr>
        <w:spacing w:after="480" w:before="60"/>
        <w:jc w:val="center"/>
      </w:pPr>
      <w:r>
        <w:rPr>
          <w:rFonts w:ascii="Arial" w:cs="Arial" w:eastAsia="Arial" w:hAnsi="Arial"/>
          <w:color w:val="555555"/>
          <w:sz w:val="22"/>
          <w:szCs w:val="22"/>
        </w:rPr>
        <w:t xml:space="preserve">CMP: Unknown / Not detected</w:t>
      </w:r>
    </w:p>
    <w:p>
      <w:pPr>
        <w:spacing w:after="60" w:before="0"/>
        <w:jc w:val="center"/>
      </w:pPr>
      <w:r>
        <w:rPr>
          <w:rFonts w:ascii="Arial" w:cs="Arial" w:eastAsia="Arial" w:hAnsi="Arial"/>
          <w:b/>
          <w:bCs/>
          <w:color w:val="C0392B"/>
          <w:sz w:val="36"/>
          <w:szCs w:val="36"/>
        </w:rPr>
        <w:t xml:space="preserve">3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0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7 MANUAL</w:t>
      </w:r>
    </w:p>
    <w:p>
      <w:pPr>
        <w:spacing w:after="1440" w:before="60"/>
        <w:jc w:val="center"/>
      </w:pPr>
      <w:r>
        <w:rPr>
          <w:rFonts w:ascii="Arial" w:cs="Arial" w:eastAsia="Arial" w:hAnsi="Arial"/>
          <w:b/>
          <w:bCs/>
          <w:color w:val="C0392B"/>
          <w:sz w:val="28"/>
          <w:szCs w:val="28"/>
        </w:rPr>
        <w:t xml:space="preserve">OVERALL RISK: HIGH</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San Francisco Chronicle's website appears to lack fundamental CCPA/CPRA opt-out mechanisms required for California consumers. The site does not display the mandatory 'Do Not Sell or Share My Personal Information' link and shows no technical signals indicating Global Privacy Control (GPC) recognition. As a news website likely engaged in advertising-related data sharing, these missing opt-out controls represent significant compliance gaps that could expose the organization to California Privacy Protection Agency enforcement action.</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Default Starting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Accept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https://sfchronicle.com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2026-03-31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Mechanism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found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 E: Opt-Out Clicked</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completed automatically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US Privacy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implemented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GPP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Tracking Cookies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6</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Tracker Globals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none detected</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https://sfchronicle.com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Prominent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Signal Detected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Cookies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Pixels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 Privacy Framework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Gpc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Manual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Destination Functional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No Login Required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Preference Recorded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DNS.1  </w:t>
      </w:r>
      <w:r>
        <w:rPr>
          <w:rFonts w:ascii="Arial" w:cs="Arial" w:eastAsia="Arial" w:hAnsi="Arial"/>
          <w:b/>
          <w:bCs/>
          <w:sz w:val="22"/>
          <w:szCs w:val="22"/>
        </w:rPr>
        <w:t xml:space="preserve">'Do Not Sell or Share My Personal Information' opt-out link present</w:t>
      </w:r>
    </w:p>
    <w:p>
      <w:pPr>
        <w:spacing w:after="60" w:before="60"/>
      </w:pPr>
      <w:r>
        <w:rPr>
          <w:rFonts w:ascii="Arial" w:cs="Arial" w:eastAsia="Arial" w:hAnsi="Arial"/>
          <w:b w:val="false"/>
          <w:bCs w:val="false"/>
          <w:color w:val="333333"/>
          <w:sz w:val="22"/>
          <w:szCs w:val="22"/>
        </w:rPr>
        <w:t xml:space="preserve">No 'Do Not Sell or Share My Personal Information' link detected. Cal. Civ. Code §1798.135(a) requires a clear and conspicuous link on every page where personal information is collected. The link must use the specified statutory phrase or the IAB-approved alternative 'Your Privacy Choices'.</w:t>
      </w:r>
    </w:p>
    <w:p>
      <w:pPr>
        <w:spacing w:after="60" w:before="0"/>
      </w:pPr>
      <w:r>
        <w:rPr>
          <w:rFonts w:ascii="Arial" w:cs="Arial" w:eastAsia="Arial" w:hAnsi="Arial"/>
          <w:i/>
          <w:iCs/>
          <w:color w:val="555555"/>
          <w:sz w:val="20"/>
          <w:szCs w:val="20"/>
        </w:rPr>
        <w:t xml:space="preserve">Regulatory basis: CCPA §1798.135(a) · CCPA §1798.120(a)</w:t>
      </w:r>
    </w:p>
    <w:p>
      <w:pPr>
        <w:spacing w:after="60" w:before="0"/>
      </w:pPr>
      <w:r>
        <w:rPr>
          <w:rFonts w:ascii="Arial" w:cs="Arial" w:eastAsia="Arial" w:hAnsi="Arial"/>
          <w:color w:val="666666"/>
          <w:sz w:val="18"/>
          <w:szCs w:val="18"/>
        </w:rPr>
        <w:t xml:space="preserve">Precedent: The California Privacy Protection Agency has indicated that missing or inadequately labeled opt-out links are priority enforcement targets, particularly for media companies engaged in advertising data</w:t>
      </w:r>
    </w:p>
    <w:p>
      <w:pPr>
        <w:spacing w:after="120" w:before="60"/>
      </w:pPr>
      <w:r>
        <w:rPr>
          <w:rFonts w:ascii="Arial" w:cs="Arial" w:eastAsia="Arial" w:hAnsi="Arial"/>
          <w:b/>
          <w:bCs/>
          <w:sz w:val="20"/>
          <w:szCs w:val="20"/>
        </w:rPr>
        <w:t xml:space="preserve">Remediation: Implement a clear and conspicuous 'Do Not Sell or Share My Personal Information' link on every page where personal information is collected, using the exact statutory language or IAB-approved 'Your Privacy Choices' alternative.</w:t>
      </w:r>
    </w:p>
    <w:p>
      <w:pPr>
        <w:pBdr>
          <w:bottom w:val="single" w:color="DDDDDD" w:sz="1"/>
        </w:pBdr>
      </w:pPr>
    </w:p>
    <w:p>
      <w:pPr>
        <w:spacing w:after="60" w:before="200"/>
      </w:pPr>
      <w:r>
        <w:rPr>
          <w:rFonts w:ascii="Arial" w:cs="Arial" w:eastAsia="Arial" w:hAnsi="Arial"/>
          <w:b/>
          <w:bCs/>
          <w:color w:val="C0392B"/>
          <w:sz w:val="22"/>
          <w:szCs w:val="22"/>
        </w:rPr>
        <w:t xml:space="preserve">GPC.1  </w:t>
      </w:r>
      <w:r>
        <w:rPr>
          <w:rFonts w:ascii="Arial" w:cs="Arial" w:eastAsia="Arial" w:hAnsi="Arial"/>
          <w:b/>
          <w:bCs/>
          <w:sz w:val="22"/>
          <w:szCs w:val="22"/>
        </w:rPr>
        <w:t xml:space="preserve">Site signals GPC opt-out receipt via US Privacy string or GPP</w:t>
      </w:r>
    </w:p>
    <w:p>
      <w:pPr>
        <w:spacing w:after="60" w:before="60"/>
      </w:pPr>
      <w:r>
        <w:rPr>
          <w:rFonts w:ascii="Arial" w:cs="Arial" w:eastAsia="Arial" w:hAnsi="Arial"/>
          <w:b w:val="false"/>
          <w:bCs w:val="false"/>
          <w:color w:val="333333"/>
          <w:sz w:val="22"/>
          <w:szCs w:val="22"/>
        </w:rPr>
        <w:t xml:space="preserve">US Privacy string: (none). GPP: (none).</w:t>
      </w:r>
    </w:p>
    <w:p>
      <w:pPr>
        <w:spacing w:after="60" w:before="0"/>
      </w:pPr>
      <w:r>
        <w:rPr>
          <w:rFonts w:ascii="Arial" w:cs="Arial" w:eastAsia="Arial" w:hAnsi="Arial"/>
          <w:i/>
          <w:iCs/>
          <w:color w:val="555555"/>
          <w:sz w:val="20"/>
          <w:szCs w:val="20"/>
        </w:rPr>
        <w:t xml:space="preserve">Regulatory basis: CCPA §1798.135(b) · CPPA Regulation §7025</w:t>
      </w:r>
    </w:p>
    <w:p>
      <w:pPr>
        <w:spacing w:after="60" w:before="0"/>
      </w:pPr>
      <w:r>
        <w:rPr>
          <w:rFonts w:ascii="Arial" w:cs="Arial" w:eastAsia="Arial" w:hAnsi="Arial"/>
          <w:color w:val="666666"/>
          <w:sz w:val="18"/>
          <w:szCs w:val="18"/>
        </w:rPr>
        <w:t xml:space="preserve">Precedent: CPPA regulations explicitly require GPC signal recognition as a valid opt-out method, with failure to implement constituting a per-consumer violation subject to statutory penalties.</w:t>
      </w:r>
    </w:p>
    <w:p>
      <w:pPr>
        <w:spacing w:after="120" w:before="60"/>
      </w:pPr>
      <w:r>
        <w:rPr>
          <w:rFonts w:ascii="Arial" w:cs="Arial" w:eastAsia="Arial" w:hAnsi="Arial"/>
          <w:b/>
          <w:bCs/>
          <w:sz w:val="20"/>
          <w:szCs w:val="20"/>
        </w:rPr>
        <w:t xml:space="preserve">Remediation: Implement technical infrastructure to detect and honor Global Privacy Control browser signals within 15 business days, signaling recognition through US Privacy string or Global Privacy Platform headers.</w:t>
      </w:r>
    </w:p>
    <w:p>
      <w:pPr>
        <w:pBdr>
          <w:bottom w:val="single" w:color="DDDDDD" w:sz="1"/>
        </w:pBdr>
      </w:pPr>
    </w:p>
    <w:p>
      <w:pPr>
        <w:spacing w:after="60" w:before="200"/>
      </w:pPr>
      <w:r>
        <w:rPr>
          <w:rFonts w:ascii="Arial" w:cs="Arial" w:eastAsia="Arial" w:hAnsi="Arial"/>
          <w:b/>
          <w:bCs/>
          <w:color w:val="C0392B"/>
          <w:sz w:val="22"/>
          <w:szCs w:val="22"/>
        </w:rPr>
        <w:t xml:space="preserve">OPT.1  </w:t>
      </w:r>
      <w:r>
        <w:rPr>
          <w:rFonts w:ascii="Arial" w:cs="Arial" w:eastAsia="Arial" w:hAnsi="Arial"/>
          <w:b/>
          <w:bCs/>
          <w:sz w:val="22"/>
          <w:szCs w:val="22"/>
        </w:rPr>
        <w:t xml:space="preserve">DNSSPI link leads to a functional opt-out destination</w:t>
      </w:r>
    </w:p>
    <w:p>
      <w:pPr>
        <w:spacing w:after="60" w:before="60"/>
      </w:pPr>
      <w:r>
        <w:rPr>
          <w:rFonts w:ascii="Arial" w:cs="Arial" w:eastAsia="Arial" w:hAnsi="Arial"/>
          <w:b w:val="false"/>
          <w:bCs w:val="false"/>
          <w:color w:val="333333"/>
          <w:sz w:val="22"/>
          <w:szCs w:val="22"/>
        </w:rPr>
        <w:t xml:space="preserve">DNSSPI link not found — opt-out flow cannot be assessed.</w:t>
      </w:r>
    </w:p>
    <w:p>
      <w:pPr>
        <w:spacing w:after="60" w:before="0"/>
      </w:pPr>
      <w:r>
        <w:rPr>
          <w:rFonts w:ascii="Arial" w:cs="Arial" w:eastAsia="Arial" w:hAnsi="Arial"/>
          <w:i/>
          <w:iCs/>
          <w:color w:val="555555"/>
          <w:sz w:val="20"/>
          <w:szCs w:val="20"/>
        </w:rPr>
        <w:t xml:space="preserve">Regulatory basis: CCPA §1798.135(a)</w:t>
      </w:r>
    </w:p>
    <w:p>
      <w:pPr>
        <w:spacing w:after="60" w:before="0"/>
      </w:pPr>
      <w:r>
        <w:rPr>
          <w:rFonts w:ascii="Arial" w:cs="Arial" w:eastAsia="Arial" w:hAnsi="Arial"/>
          <w:color w:val="666666"/>
          <w:sz w:val="18"/>
          <w:szCs w:val="18"/>
        </w:rPr>
        <w:t xml:space="preserve">Precedent: CPPA enforcement actions have emphasized that opt-out mechanisms must be genuinely accessible and functional, not merely present as broken or misleading links.</w:t>
      </w:r>
    </w:p>
    <w:p>
      <w:pPr>
        <w:spacing w:after="120" w:before="60"/>
      </w:pPr>
      <w:r>
        <w:rPr>
          <w:rFonts w:ascii="Arial" w:cs="Arial" w:eastAsia="Arial" w:hAnsi="Arial"/>
          <w:b/>
          <w:bCs/>
          <w:sz w:val="20"/>
          <w:szCs w:val="20"/>
        </w:rPr>
        <w:t xml:space="preserve">Remediation: Establish a functional opt-out mechanism that allows consumers to easily exercise their right to opt out of personal information sales and sharing with third parties.</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pStyle w:val="ListParagraph"/>
        <w:numPr>
          <w:ilvl w:val="0"/>
          <w:numId w:val="2"/>
        </w:numPr>
        <w:spacing w:after="40" w:before="100"/>
      </w:pPr>
      <w:r>
        <w:rPr>
          <w:rFonts w:ascii="Arial" w:cs="Arial" w:eastAsia="Arial" w:hAnsi="Arial"/>
          <w:b/>
          <w:bCs/>
          <w:sz w:val="22"/>
          <w:szCs w:val="22"/>
        </w:rPr>
        <w:t xml:space="preserve">Add prominent 'Do Not Sell or Share My Personal Information' link to website footer and all collection pages</w:t>
      </w:r>
    </w:p>
    <w:p>
      <w:pPr>
        <w:spacing w:after="60" w:before="60"/>
      </w:pPr>
      <w:r>
        <w:rPr>
          <w:rFonts w:ascii="Arial" w:cs="Arial" w:eastAsia="Arial" w:hAnsi="Arial"/>
          <w:b w:val="false"/>
          <w:bCs w:val="false"/>
          <w:color w:val="555555"/>
          <w:sz w:val="22"/>
          <w:szCs w:val="22"/>
        </w:rPr>
        <w:t xml:space="preserve">Effort: low  |  Impact: Addresses primary CCPA opt-out link requirement and enables consumer rights exercise</w:t>
      </w:r>
    </w:p>
    <w:p>
      <w:pPr>
        <w:pStyle w:val="ListParagraph"/>
        <w:numPr>
          <w:ilvl w:val="0"/>
          <w:numId w:val="2"/>
        </w:numPr>
        <w:spacing w:after="40" w:before="100"/>
      </w:pPr>
      <w:r>
        <w:rPr>
          <w:rFonts w:ascii="Arial" w:cs="Arial" w:eastAsia="Arial" w:hAnsi="Arial"/>
          <w:b/>
          <w:bCs/>
          <w:sz w:val="22"/>
          <w:szCs w:val="22"/>
        </w:rPr>
        <w:t xml:space="preserve">Implement Global Privacy Control signal detection and automated opt-out processing</w:t>
      </w:r>
    </w:p>
    <w:p>
      <w:pPr>
        <w:spacing w:after="60" w:before="60"/>
      </w:pPr>
      <w:r>
        <w:rPr>
          <w:rFonts w:ascii="Arial" w:cs="Arial" w:eastAsia="Arial" w:hAnsi="Arial"/>
          <w:b w:val="false"/>
          <w:bCs w:val="false"/>
          <w:color w:val="555555"/>
          <w:sz w:val="22"/>
          <w:szCs w:val="22"/>
        </w:rPr>
        <w:t xml:space="preserve">Effort: medium  |  Impact: Ensures compliance with mandatory browser signal recognition requirements</w:t>
      </w:r>
    </w:p>
    <w:p>
      <w:pPr>
        <w:pStyle w:val="ListParagraph"/>
        <w:numPr>
          <w:ilvl w:val="0"/>
          <w:numId w:val="2"/>
        </w:numPr>
        <w:spacing w:after="40" w:before="100"/>
      </w:pPr>
      <w:r>
        <w:rPr>
          <w:rFonts w:ascii="Arial" w:cs="Arial" w:eastAsia="Arial" w:hAnsi="Arial"/>
          <w:b/>
          <w:bCs/>
          <w:sz w:val="22"/>
          <w:szCs w:val="22"/>
        </w:rPr>
        <w:t xml:space="preserve">Build functional opt-out landing page with clear instructions and confirmation messaging</w:t>
      </w:r>
    </w:p>
    <w:p>
      <w:pPr>
        <w:spacing w:after="60" w:before="60"/>
      </w:pPr>
      <w:r>
        <w:rPr>
          <w:rFonts w:ascii="Arial" w:cs="Arial" w:eastAsia="Arial" w:hAnsi="Arial"/>
          <w:b w:val="false"/>
          <w:bCs w:val="false"/>
          <w:color w:val="555555"/>
          <w:sz w:val="22"/>
          <w:szCs w:val="22"/>
        </w:rPr>
        <w:t xml:space="preserve">Effort: medium  |  Impact: Creates complete opt-out experience required by CCPA consumer rights provisions</w:t>
      </w:r>
    </w:p>
    <w:p>
      <w:pPr>
        <w:pStyle w:val="ListParagraph"/>
        <w:numPr>
          <w:ilvl w:val="0"/>
          <w:numId w:val="2"/>
        </w:numPr>
        <w:spacing w:after="40" w:before="100"/>
      </w:pPr>
      <w:r>
        <w:rPr>
          <w:rFonts w:ascii="Arial" w:cs="Arial" w:eastAsia="Arial" w:hAnsi="Arial"/>
          <w:b/>
          <w:bCs/>
          <w:sz w:val="22"/>
          <w:szCs w:val="22"/>
        </w:rPr>
        <w:t xml:space="preserve">Configure US Privacy string or GPP headers to signal GPC opt-out status to advertising partners</w:t>
      </w:r>
    </w:p>
    <w:p>
      <w:pPr>
        <w:spacing w:after="60" w:before="60"/>
      </w:pPr>
      <w:r>
        <w:rPr>
          <w:rFonts w:ascii="Arial" w:cs="Arial" w:eastAsia="Arial" w:hAnsi="Arial"/>
          <w:b w:val="false"/>
          <w:bCs w:val="false"/>
          <w:color w:val="555555"/>
          <w:sz w:val="22"/>
          <w:szCs w:val="22"/>
        </w:rPr>
        <w:t xml:space="preserve">Effort: medium  |  Impact: Ensures third-party advertising vendors receive proper opt-out signals</w:t>
      </w:r>
    </w:p>
    <w:p>
      <w:pPr>
        <w:pStyle w:val="ListParagraph"/>
        <w:numPr>
          <w:ilvl w:val="0"/>
          <w:numId w:val="2"/>
        </w:numPr>
        <w:spacing w:after="40" w:before="100"/>
      </w:pPr>
      <w:r>
        <w:rPr>
          <w:rFonts w:ascii="Arial" w:cs="Arial" w:eastAsia="Arial" w:hAnsi="Arial"/>
          <w:b/>
          <w:bCs/>
          <w:sz w:val="22"/>
          <w:szCs w:val="22"/>
        </w:rPr>
        <w:t xml:space="preserve">Audit advertising and analytics relationships to identify sale/sharing activities requiring opt-out coverage</w:t>
      </w:r>
    </w:p>
    <w:p>
      <w:pPr>
        <w:spacing w:after="60" w:before="60"/>
      </w:pPr>
      <w:r>
        <w:rPr>
          <w:rFonts w:ascii="Arial" w:cs="Arial" w:eastAsia="Arial" w:hAnsi="Arial"/>
          <w:b w:val="false"/>
          <w:bCs w:val="false"/>
          <w:color w:val="555555"/>
          <w:sz w:val="22"/>
          <w:szCs w:val="22"/>
        </w:rPr>
        <w:t xml:space="preserve">Effort: high  |  Impact: Ensures opt-out mechanisms cover all applicable data practices under CCPA definitions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f4a3cd2ee049111f1f28bc8fb911d7c73722aba9.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2026-04-04T09:51:26.302Z</dcterms:created>
  <dcterms:modified xsi:type="dcterms:W3CDTF">2026-04-04T09:51:26.302Z</dcterms:modified>
</cp:coreProperties>
</file>

<file path=docProps/custom.xml><?xml version="1.0" encoding="utf-8"?>
<Properties xmlns="http://schemas.openxmlformats.org/officeDocument/2006/custom-properties" xmlns:vt="http://schemas.openxmlformats.org/officeDocument/2006/docPropsVTypes"/>
</file>