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https://www.waivern.com</w:t>
      </w:r>
    </w:p>
    <w:p>
      <w:pPr>
        <w:spacing w:after="60" w:before="60"/>
        <w:jc w:val="center"/>
      </w:pPr>
      <w:r>
        <w:rPr>
          <w:rFonts w:ascii="Arial" w:cs="Arial" w:eastAsia="Arial" w:hAnsi="Arial"/>
          <w:color w:val="555555"/>
          <w:sz w:val="22"/>
          <w:szCs w:val="22"/>
        </w:rPr>
        <w:t xml:space="preserve">Test date: 2026-04-08</w:t>
      </w:r>
    </w:p>
    <w:p>
      <w:pPr>
        <w:spacing w:after="480" w:before="60"/>
        <w:jc w:val="center"/>
      </w:pPr>
      <w:r>
        <w:rPr>
          <w:rFonts w:ascii="Arial" w:cs="Arial" w:eastAsia="Arial" w:hAnsi="Arial"/>
          <w:color w:val="555555"/>
          <w:sz w:val="22"/>
          <w:szCs w:val="22"/>
        </w:rPr>
        <w:t xml:space="preserve">CMP: Cookiebot</w:t>
      </w:r>
    </w:p>
    <w:p>
      <w:pPr>
        <w:spacing w:after="60" w:before="0"/>
        <w:jc w:val="center"/>
      </w:pPr>
      <w:r>
        <w:rPr>
          <w:rFonts w:ascii="Arial" w:cs="Arial" w:eastAsia="Arial" w:hAnsi="Arial"/>
          <w:b/>
          <w:bCs/>
          <w:color w:val="C0392B"/>
          <w:sz w:val="36"/>
          <w:szCs w:val="36"/>
        </w:rPr>
        <w:t xml:space="preserve">9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25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5 MANUAL</w:t>
      </w:r>
    </w:p>
    <w:p>
      <w:pPr>
        <w:spacing w:after="1440" w:before="60"/>
        <w:jc w:val="center"/>
      </w:pPr>
      <w:r>
        <w:rPr>
          <w:rFonts w:ascii="Arial" w:cs="Arial" w:eastAsia="Arial" w:hAnsi="Arial"/>
          <w:b/>
          <w:bCs/>
          <w:color w:val="C0392B"/>
          <w:sz w:val="28"/>
          <w:szCs w:val="28"/>
        </w:rPr>
        <w:t xml:space="preserve">OVERALL RISK: HIGH</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The website shows significant GDPR compliance violations with tracking occurring both before consent and continuing after consent rejection. Google Analytics and Tag Manager remain active throughout the user journey regardless of consent choices. The absence of a persistent consent withdrawal mechanism further compounds compliance issues. These findings indicate systematic non-compliance with EU data protection requirements rather than implementation of any recognised alternative compliance model.</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Layer 1 — Initial banner (before interaction)</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Layer 2 — After Accept All (consent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After Reject All (post-rejection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https://www.waivern.com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2026-04-08</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HIGH risk</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Amsterdam, North Holland, The Netherlands (208.77.244.106) — Railway</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CMP Platform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Cookiebot</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Accept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"Allow all cookies"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Button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"Accept only strictly necessary cookies"  (1 clicks)</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https://www.waivern.com presents to the probe location (Amsterdam, North Holland, The Netherlands (208.77.244.106) — Railway).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Pre Consent Clean</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Cookies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Undefined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Tracking Storage Pre 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Network Blocked After Decline</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Third Party Cookies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PARTIAL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Doc Cookie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Web Storage Clean Post Reject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First Party Cookies Classified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Server Side Cookies Gated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Cname Cloaking</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Tracker Globals Absent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Dom Scripts Blocked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Reject Equals Accept Clicks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Preticked Boxes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Persistent Withdrawal Widget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 Cookie Wall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Consent Persists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B.1  </w:t>
      </w:r>
      <w:r>
        <w:rPr>
          <w:rFonts w:ascii="Arial" w:cs="Arial" w:eastAsia="Arial" w:hAnsi="Arial"/>
          <w:b/>
          <w:bCs/>
          <w:sz w:val="22"/>
          <w:szCs w:val="22"/>
        </w:rPr>
        <w:t xml:space="preserve">No tracking requests before consent banner interaction</w:t>
      </w:r>
    </w:p>
    <w:p>
      <w:pPr>
        <w:spacing w:after="60" w:before="60"/>
      </w:pPr>
      <w:r>
        <w:rPr>
          <w:rFonts w:ascii="Arial" w:cs="Arial" w:eastAsia="Arial" w:hAnsi="Arial"/>
          <w:b w:val="false"/>
          <w:bCs w:val="false"/>
          <w:color w:val="333333"/>
          <w:sz w:val="22"/>
          <w:szCs w:val="22"/>
        </w:rPr>
        <w:t xml:space="preserve">1 tracking domain(s) made requests before any consent signal was recorded.</w:t>
      </w:r>
    </w:p>
    <w:p>
      <w:pPr>
        <w:spacing w:after="60" w:before="0"/>
      </w:pPr>
      <w:r>
        <w:rPr>
          <w:rFonts w:ascii="Arial" w:cs="Arial" w:eastAsia="Arial" w:hAnsi="Arial"/>
          <w:i/>
          <w:iCs/>
          <w:color w:val="555555"/>
          <w:sz w:val="20"/>
          <w:szCs w:val="20"/>
        </w:rPr>
        <w:t xml:space="preserve">Regulatory basis: ePrivacy Directive Art. 5(3) · GDPR Art. 6(1)(a)</w:t>
      </w:r>
    </w:p>
    <w:p>
      <w:pPr>
        <w:spacing w:after="60" w:before="0"/>
      </w:pPr>
      <w:r>
        <w:rPr>
          <w:rFonts w:ascii="Arial" w:cs="Arial" w:eastAsia="Arial" w:hAnsi="Arial"/>
          <w:color w:val="666666"/>
          <w:sz w:val="18"/>
          <w:szCs w:val="18"/>
        </w:rPr>
        <w:t xml:space="preserve">Precedent: EDPB Guidelines 2/2023 confirm that analytics tracking requires prior consent regardless of first/third-party distinction.</w:t>
      </w:r>
    </w:p>
    <w:p>
      <w:pPr>
        <w:spacing w:after="120" w:before="60"/>
      </w:pPr>
      <w:r>
        <w:rPr>
          <w:rFonts w:ascii="Arial" w:cs="Arial" w:eastAsia="Arial" w:hAnsi="Arial"/>
          <w:b/>
          <w:bCs/>
          <w:sz w:val="20"/>
          <w:szCs w:val="20"/>
        </w:rPr>
        <w:t xml:space="preserve">Remediation: Implement strict technical measures to prevent any tracking domain requests until explicit user consent is obtained through banner interaction.</w:t>
      </w:r>
    </w:p>
    <w:p>
      <w:pPr>
        <w:pBdr>
          <w:bottom w:val="single" w:color="DDDDDD" w:sz="1"/>
        </w:pBdr>
      </w:pPr>
    </w:p>
    <w:p>
      <w:pPr>
        <w:spacing w:after="60" w:before="200"/>
      </w:pPr>
      <w:r>
        <w:rPr>
          <w:rFonts w:ascii="Arial" w:cs="Arial" w:eastAsia="Arial" w:hAnsi="Arial"/>
          <w:b/>
          <w:bCs/>
          <w:color w:val="C0392B"/>
          <w:sz w:val="22"/>
          <w:szCs w:val="22"/>
        </w:rPr>
        <w:t xml:space="preserve">B.3  </w:t>
      </w:r>
      <w:r>
        <w:rPr>
          <w:rFonts w:ascii="Arial" w:cs="Arial" w:eastAsia="Arial" w:hAnsi="Arial"/>
          <w:b/>
          <w:bCs/>
          <w:sz w:val="22"/>
          <w:szCs w:val="22"/>
        </w:rPr>
        <w:t xml:space="preserve">JS tracker globals return undefined pre-consent</w:t>
      </w:r>
    </w:p>
    <w:p>
      <w:pPr>
        <w:spacing w:after="60" w:before="60"/>
      </w:pPr>
      <w:r>
        <w:rPr>
          <w:rFonts w:ascii="Arial" w:cs="Arial" w:eastAsia="Arial" w:hAnsi="Arial"/>
          <w:b w:val="false"/>
          <w:bCs w:val="false"/>
          <w:color w:val="333333"/>
          <w:sz w:val="22"/>
          <w:szCs w:val="22"/>
        </w:rPr>
        <w:t xml:space="preserve">Tracker globals defined before consent: ['gtag', 'google_tag_manager']</w:t>
      </w:r>
    </w:p>
    <w:p>
      <w:pPr>
        <w:spacing w:after="60" w:before="0"/>
      </w:pPr>
      <w:r>
        <w:rPr>
          <w:rFonts w:ascii="Arial" w:cs="Arial" w:eastAsia="Arial" w:hAnsi="Arial"/>
          <w:i/>
          <w:iCs/>
          <w:color w:val="555555"/>
          <w:sz w:val="20"/>
          <w:szCs w:val="20"/>
        </w:rPr>
        <w:t xml:space="preserve">Regulatory basis: ePrivacy Directive Art. 5(3) · GDPR Art. 25</w:t>
      </w:r>
    </w:p>
    <w:p>
      <w:pPr>
        <w:spacing w:after="60" w:before="0"/>
      </w:pPr>
      <w:r>
        <w:rPr>
          <w:rFonts w:ascii="Arial" w:cs="Arial" w:eastAsia="Arial" w:hAnsi="Arial"/>
          <w:color w:val="666666"/>
          <w:sz w:val="18"/>
          <w:szCs w:val="18"/>
        </w:rPr>
        <w:t xml:space="preserve">Precedent: GDPR Art. 25 requires data protection by design with non-processing as the default state before consent.</w:t>
      </w:r>
    </w:p>
    <w:p>
      <w:pPr>
        <w:spacing w:after="120" w:before="60"/>
      </w:pPr>
      <w:r>
        <w:rPr>
          <w:rFonts w:ascii="Arial" w:cs="Arial" w:eastAsia="Arial" w:hAnsi="Arial"/>
          <w:b/>
          <w:bCs/>
          <w:sz w:val="20"/>
          <w:szCs w:val="20"/>
        </w:rPr>
        <w:t xml:space="preserve">Remediation: Configure Google Tag Manager and gtag to load only after affirmative consent, implementing data protection by design principles.</w:t>
      </w:r>
    </w:p>
    <w:p>
      <w:pPr>
        <w:pBdr>
          <w:bottom w:val="single" w:color="DDDDDD" w:sz="1"/>
        </w:pBdr>
      </w:pPr>
    </w:p>
    <w:p>
      <w:pPr>
        <w:spacing w:after="60" w:before="200"/>
      </w:pPr>
      <w:r>
        <w:rPr>
          <w:rFonts w:ascii="Arial" w:cs="Arial" w:eastAsia="Arial" w:hAnsi="Arial"/>
          <w:b/>
          <w:bCs/>
          <w:color w:val="C0392B"/>
          <w:sz w:val="22"/>
          <w:szCs w:val="22"/>
        </w:rPr>
        <w:t xml:space="preserve">E.1  </w:t>
      </w:r>
      <w:r>
        <w:rPr>
          <w:rFonts w:ascii="Arial" w:cs="Arial" w:eastAsia="Arial" w:hAnsi="Arial"/>
          <w:b/>
          <w:bCs/>
          <w:sz w:val="22"/>
          <w:szCs w:val="22"/>
        </w:rPr>
        <w:t xml:space="preserve">No requests to non-essential third-party domains after reject-all</w:t>
      </w:r>
    </w:p>
    <w:p>
      <w:pPr>
        <w:spacing w:after="60" w:before="60"/>
      </w:pPr>
      <w:r>
        <w:rPr>
          <w:rFonts w:ascii="Arial" w:cs="Arial" w:eastAsia="Arial" w:hAnsi="Arial"/>
          <w:b w:val="false"/>
          <w:bCs w:val="false"/>
          <w:color w:val="333333"/>
          <w:sz w:val="22"/>
          <w:szCs w:val="22"/>
        </w:rPr>
        <w:t xml:space="preserve">1 tracking domain(s) continued firing after reject-all.</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GDPR Art. 7(3) mandates that data processing must cease immediately upon consent withdrawal.</w:t>
      </w:r>
    </w:p>
    <w:p>
      <w:pPr>
        <w:spacing w:after="120" w:before="60"/>
      </w:pPr>
      <w:r>
        <w:rPr>
          <w:rFonts w:ascii="Arial" w:cs="Arial" w:eastAsia="Arial" w:hAnsi="Arial"/>
          <w:b/>
          <w:bCs/>
          <w:sz w:val="20"/>
          <w:szCs w:val="20"/>
        </w:rPr>
        <w:t xml:space="preserve">Remediation: Ensure all non-essential tracking domains cease operations immediately upon consent withdrawal as required by GDPR Article 7(3).</w:t>
      </w:r>
    </w:p>
    <w:p>
      <w:pPr>
        <w:pBdr>
          <w:bottom w:val="single" w:color="DDDDDD" w:sz="1"/>
        </w:pBdr>
      </w:pPr>
    </w:p>
    <w:p>
      <w:pPr>
        <w:spacing w:after="60" w:before="200"/>
      </w:pPr>
      <w:r>
        <w:rPr>
          <w:rFonts w:ascii="Arial" w:cs="Arial" w:eastAsia="Arial" w:hAnsi="Arial"/>
          <w:b/>
          <w:bCs/>
          <w:color w:val="C0392B"/>
          <w:sz w:val="22"/>
          <w:szCs w:val="22"/>
        </w:rPr>
        <w:t xml:space="preserve">E.3  </w:t>
      </w:r>
      <w:r>
        <w:rPr>
          <w:rFonts w:ascii="Arial" w:cs="Arial" w:eastAsia="Arial" w:hAnsi="Arial"/>
          <w:b/>
          <w:bCs/>
          <w:sz w:val="22"/>
          <w:szCs w:val="22"/>
        </w:rPr>
        <w:t xml:space="preserve">No tracking pixels or beacons fired after reject-all</w:t>
      </w:r>
    </w:p>
    <w:p>
      <w:pPr>
        <w:spacing w:after="60" w:before="60"/>
      </w:pPr>
      <w:r>
        <w:rPr>
          <w:rFonts w:ascii="Arial" w:cs="Arial" w:eastAsia="Arial" w:hAnsi="Arial"/>
          <w:b w:val="false"/>
          <w:bCs w:val="false"/>
          <w:color w:val="333333"/>
          <w:sz w:val="22"/>
          <w:szCs w:val="22"/>
        </w:rPr>
        <w:t xml:space="preserve">2 tracking pixel/beacon call(s) post-reject.</w:t>
      </w:r>
    </w:p>
    <w:p>
      <w:pPr>
        <w:spacing w:after="60" w:before="0"/>
      </w:pPr>
      <w:r>
        <w:rPr>
          <w:rFonts w:ascii="Arial" w:cs="Arial" w:eastAsia="Arial" w:hAnsi="Arial"/>
          <w:i/>
          <w:iCs/>
          <w:color w:val="555555"/>
          <w:sz w:val="20"/>
          <w:szCs w:val="20"/>
        </w:rPr>
        <w:t xml:space="preserve">Regulatory basis: ePrivacy Directive Art. 5(3) · GDPR Art. 7(3)</w:t>
      </w:r>
    </w:p>
    <w:p>
      <w:pPr>
        <w:spacing w:after="60" w:before="0"/>
      </w:pPr>
      <w:r>
        <w:rPr>
          <w:rFonts w:ascii="Arial" w:cs="Arial" w:eastAsia="Arial" w:hAnsi="Arial"/>
          <w:color w:val="666666"/>
          <w:sz w:val="18"/>
          <w:szCs w:val="18"/>
        </w:rPr>
        <w:t xml:space="preserve">Precedent: EDPB Guidelines 05/2020 specify that consent withdrawal must result in immediate cessation of all related processing.</w:t>
      </w:r>
    </w:p>
    <w:p>
      <w:pPr>
        <w:spacing w:after="120" w:before="60"/>
      </w:pPr>
      <w:r>
        <w:rPr>
          <w:rFonts w:ascii="Arial" w:cs="Arial" w:eastAsia="Arial" w:hAnsi="Arial"/>
          <w:b/>
          <w:bCs/>
          <w:sz w:val="20"/>
          <w:szCs w:val="20"/>
        </w:rPr>
        <w:t xml:space="preserve">Remediation: Block all tracking pixels and beacon calls when users reject consent to ensure compliance with withdrawal requirements.</w:t>
      </w:r>
    </w:p>
    <w:p>
      <w:pPr>
        <w:pBdr>
          <w:bottom w:val="single" w:color="DDDDDD" w:sz="1"/>
        </w:pBdr>
      </w:pPr>
    </w:p>
    <w:p>
      <w:pPr>
        <w:spacing w:after="60" w:before="200"/>
      </w:pPr>
      <w:r>
        <w:rPr>
          <w:rFonts w:ascii="Arial" w:cs="Arial" w:eastAsia="Arial" w:hAnsi="Arial"/>
          <w:b/>
          <w:bCs/>
          <w:color w:val="C0392B"/>
          <w:sz w:val="22"/>
          <w:szCs w:val="22"/>
        </w:rPr>
        <w:t xml:space="preserve">E.4  </w:t>
      </w:r>
      <w:r>
        <w:rPr>
          <w:rFonts w:ascii="Arial" w:cs="Arial" w:eastAsia="Arial" w:hAnsi="Arial"/>
          <w:b/>
          <w:bCs/>
          <w:sz w:val="22"/>
          <w:szCs w:val="22"/>
        </w:rPr>
        <w:t xml:space="preserve">No tracking activity on subpages after reject-all</w:t>
      </w:r>
    </w:p>
    <w:p>
      <w:pPr>
        <w:spacing w:after="60" w:before="60"/>
      </w:pPr>
      <w:r>
        <w:rPr>
          <w:rFonts w:ascii="Arial" w:cs="Arial" w:eastAsia="Arial" w:hAnsi="Arial"/>
          <w:b w:val="false"/>
          <w:bCs w:val="false"/>
          <w:color w:val="333333"/>
          <w:sz w:val="22"/>
          <w:szCs w:val="22"/>
        </w:rPr>
        <w:t xml:space="preserve">Tracking activity detected on 2 subpage(s) after reject.</w:t>
      </w:r>
    </w:p>
    <w:p>
      <w:pPr>
        <w:spacing w:after="60" w:before="0"/>
      </w:pPr>
      <w:r>
        <w:rPr>
          <w:rFonts w:ascii="Arial" w:cs="Arial" w:eastAsia="Arial" w:hAnsi="Arial"/>
          <w:i/>
          <w:iCs/>
          <w:color w:val="555555"/>
          <w:sz w:val="20"/>
          <w:szCs w:val="20"/>
        </w:rPr>
        <w:t xml:space="preserve">Regulatory basis: GDPR Art. 7(3) · GDPR Art. 5(1)(a)</w:t>
      </w:r>
    </w:p>
    <w:p>
      <w:pPr>
        <w:spacing w:after="60" w:before="0"/>
      </w:pPr>
      <w:r>
        <w:rPr>
          <w:rFonts w:ascii="Arial" w:cs="Arial" w:eastAsia="Arial" w:hAnsi="Arial"/>
          <w:color w:val="666666"/>
          <w:sz w:val="18"/>
          <w:szCs w:val="18"/>
        </w:rPr>
        <w:t xml:space="preserve">Precedent: CJEU Planet49 established that consent scope must be respected across the entire user journey.</w:t>
      </w:r>
    </w:p>
    <w:p>
      <w:pPr>
        <w:spacing w:after="120" w:before="60"/>
      </w:pPr>
      <w:r>
        <w:rPr>
          <w:rFonts w:ascii="Arial" w:cs="Arial" w:eastAsia="Arial" w:hAnsi="Arial"/>
          <w:b/>
          <w:bCs/>
          <w:sz w:val="20"/>
          <w:szCs w:val="20"/>
        </w:rPr>
        <w:t xml:space="preserve">Remediation: Implement site-wide consent state management to prevent tracking across all pages after consent rejection.</w:t>
      </w:r>
    </w:p>
    <w:p>
      <w:pPr>
        <w:pBdr>
          <w:bottom w:val="single" w:color="DDDDDD" w:sz="1"/>
        </w:pBdr>
      </w:pPr>
    </w:p>
    <w:p>
      <w:pPr>
        <w:spacing w:after="60" w:before="200"/>
      </w:pPr>
      <w:r>
        <w:rPr>
          <w:rFonts w:ascii="Arial" w:cs="Arial" w:eastAsia="Arial" w:hAnsi="Arial"/>
          <w:b/>
          <w:bCs/>
          <w:color w:val="C0392B"/>
          <w:sz w:val="22"/>
          <w:szCs w:val="22"/>
        </w:rPr>
        <w:t xml:space="preserve">H.1  </w:t>
      </w:r>
      <w:r>
        <w:rPr>
          <w:rFonts w:ascii="Arial" w:cs="Arial" w:eastAsia="Arial" w:hAnsi="Arial"/>
          <w:b/>
          <w:bCs/>
          <w:sz w:val="22"/>
          <w:szCs w:val="22"/>
        </w:rPr>
        <w:t xml:space="preserve">Tracker JS globals (ga, gtag, fbq, hj, etc.) return undefined post-reject</w:t>
      </w:r>
    </w:p>
    <w:p>
      <w:pPr>
        <w:spacing w:after="60" w:before="60"/>
      </w:pPr>
      <w:r>
        <w:rPr>
          <w:rFonts w:ascii="Arial" w:cs="Arial" w:eastAsia="Arial" w:hAnsi="Arial"/>
          <w:b w:val="false"/>
          <w:bCs w:val="false"/>
          <w:color w:val="333333"/>
          <w:sz w:val="22"/>
          <w:szCs w:val="22"/>
        </w:rPr>
        <w:t xml:space="preserve">Tracker globals still defined after reject-all: ['gtag', 'google_tag_manager']</w:t>
      </w:r>
    </w:p>
    <w:p>
      <w:pPr>
        <w:spacing w:after="60" w:before="0"/>
      </w:pPr>
      <w:r>
        <w:rPr>
          <w:rFonts w:ascii="Arial" w:cs="Arial" w:eastAsia="Arial" w:hAnsi="Arial"/>
          <w:i/>
          <w:iCs/>
          <w:color w:val="555555"/>
          <w:sz w:val="20"/>
          <w:szCs w:val="20"/>
        </w:rPr>
        <w:t xml:space="preserve">Regulatory basis: GDPR Art. 7(3) · ePrivacy Directive Art. 5(3)</w:t>
      </w:r>
    </w:p>
    <w:p>
      <w:pPr>
        <w:spacing w:after="60" w:before="0"/>
      </w:pPr>
      <w:r>
        <w:rPr>
          <w:rFonts w:ascii="Arial" w:cs="Arial" w:eastAsia="Arial" w:hAnsi="Arial"/>
          <w:color w:val="666666"/>
          <w:sz w:val="18"/>
          <w:szCs w:val="18"/>
        </w:rPr>
        <w:t xml:space="preserve">Precedent: EDPB Guidelines 05/2020 require that consent withdrawal must be technically effective, not merely cosmetic.</w:t>
      </w:r>
    </w:p>
    <w:p>
      <w:pPr>
        <w:spacing w:after="120" w:before="60"/>
      </w:pPr>
      <w:r>
        <w:rPr>
          <w:rFonts w:ascii="Arial" w:cs="Arial" w:eastAsia="Arial" w:hAnsi="Arial"/>
          <w:b/>
          <w:bCs/>
          <w:sz w:val="20"/>
          <w:szCs w:val="20"/>
        </w:rPr>
        <w:t xml:space="preserve">Remediation: Configure technical implementation to undefine or disable gtag and google_tag_manager globals when consent is withdrawn.</w:t>
      </w:r>
    </w:p>
    <w:p>
      <w:pPr>
        <w:pBdr>
          <w:bottom w:val="single" w:color="DDDDDD" w:sz="1"/>
        </w:pBdr>
      </w:pPr>
    </w:p>
    <w:p>
      <w:pPr>
        <w:spacing w:after="60" w:before="200"/>
      </w:pPr>
      <w:r>
        <w:rPr>
          <w:rFonts w:ascii="Arial" w:cs="Arial" w:eastAsia="Arial" w:hAnsi="Arial"/>
          <w:b/>
          <w:bCs/>
          <w:color w:val="C0392B"/>
          <w:sz w:val="22"/>
          <w:szCs w:val="22"/>
        </w:rPr>
        <w:t xml:space="preserve">K.5  </w:t>
      </w:r>
      <w:r>
        <w:rPr>
          <w:rFonts w:ascii="Arial" w:cs="Arial" w:eastAsia="Arial" w:hAnsi="Arial"/>
          <w:b/>
          <w:bCs/>
          <w:sz w:val="22"/>
          <w:szCs w:val="22"/>
        </w:rPr>
        <w:t xml:space="preserve">Persistent consent withdrawal mechanism accessible after interaction</w:t>
      </w:r>
    </w:p>
    <w:p>
      <w:pPr>
        <w:spacing w:after="60" w:before="60"/>
      </w:pPr>
      <w:r>
        <w:rPr>
          <w:rFonts w:ascii="Arial" w:cs="Arial" w:eastAsia="Arial" w:hAnsi="Arial"/>
          <w:b w:val="false"/>
          <w:bCs w:val="false"/>
          <w:color w:val="333333"/>
          <w:sz w:val="22"/>
          <w:szCs w:val="22"/>
        </w:rPr>
        <w:t xml:space="preserve">No persistent consent widget found. Users cannot easily withdraw consent.</w:t>
      </w:r>
    </w:p>
    <w:p>
      <w:pPr>
        <w:spacing w:after="60" w:before="0"/>
      </w:pPr>
      <w:r>
        <w:rPr>
          <w:rFonts w:ascii="Arial" w:cs="Arial" w:eastAsia="Arial" w:hAnsi="Arial"/>
          <w:i/>
          <w:iCs/>
          <w:color w:val="555555"/>
          <w:sz w:val="20"/>
          <w:szCs w:val="20"/>
        </w:rPr>
        <w:t xml:space="preserve">Regulatory basis: GDPR Art. 7(3) · EDPB Guidelines 05/2020</w:t>
      </w:r>
    </w:p>
    <w:p>
      <w:pPr>
        <w:spacing w:after="60" w:before="0"/>
      </w:pPr>
      <w:r>
        <w:rPr>
          <w:rFonts w:ascii="Arial" w:cs="Arial" w:eastAsia="Arial" w:hAnsi="Arial"/>
          <w:color w:val="666666"/>
          <w:sz w:val="18"/>
          <w:szCs w:val="18"/>
        </w:rPr>
        <w:t xml:space="preserve">Precedent: EDPB Guidelines 05/2020 mandate that withdrawal must be as easy as giving consent, requiring persistent access mechanisms.</w:t>
      </w:r>
    </w:p>
    <w:p>
      <w:pPr>
        <w:spacing w:after="120" w:before="60"/>
      </w:pPr>
      <w:r>
        <w:rPr>
          <w:rFonts w:ascii="Arial" w:cs="Arial" w:eastAsia="Arial" w:hAnsi="Arial"/>
          <w:b/>
          <w:bCs/>
          <w:sz w:val="20"/>
          <w:szCs w:val="20"/>
        </w:rPr>
        <w:t xml:space="preserve">Remediation: Implement a persistent, easily accessible consent management widget allowing users to modify or withdraw consent at any time.</w:t>
      </w:r>
    </w:p>
    <w:p>
      <w:pPr>
        <w:pBdr>
          <w:bottom w:val="single" w:color="DDDDDD" w:sz="1"/>
        </w:pBdr>
      </w:pPr>
    </w:p>
    <w:p>
      <w:pPr>
        <w:pStyle w:val="Heading2"/>
        <w:spacing w:after="120" w:before="280"/>
      </w:pPr>
      <w:r>
        <w:rPr>
          <w:rFonts w:ascii="Arial" w:cs="Arial" w:eastAsia="Arial" w:hAnsi="Arial"/>
          <w:b/>
          <w:bCs/>
          <w:color w:val="E67E22"/>
          <w:sz w:val="24"/>
          <w:szCs w:val="24"/>
        </w:rPr>
        <w:t xml:space="preserve">5.2 Medium Risk</w:t>
      </w:r>
    </w:p>
    <w:p>
      <w:pPr>
        <w:spacing w:after="60" w:before="200"/>
      </w:pPr>
      <w:r>
        <w:rPr>
          <w:rFonts w:ascii="Arial" w:cs="Arial" w:eastAsia="Arial" w:hAnsi="Arial"/>
          <w:b/>
          <w:bCs/>
          <w:color w:val="E67E22"/>
          <w:sz w:val="22"/>
          <w:szCs w:val="22"/>
        </w:rPr>
        <w:t xml:space="preserve">H.3  </w:t>
      </w:r>
      <w:r>
        <w:rPr>
          <w:rFonts w:ascii="Arial" w:cs="Arial" w:eastAsia="Arial" w:hAnsi="Arial"/>
          <w:b/>
          <w:bCs/>
          <w:sz w:val="22"/>
          <w:szCs w:val="22"/>
        </w:rPr>
        <w:t xml:space="preserve">window.dataLayer absent or contains no tracking events post-reject</w:t>
      </w:r>
    </w:p>
    <w:p>
      <w:pPr>
        <w:spacing w:after="60" w:before="60"/>
      </w:pPr>
      <w:r>
        <w:rPr>
          <w:rFonts w:ascii="Arial" w:cs="Arial" w:eastAsia="Arial" w:hAnsi="Arial"/>
          <w:b w:val="false"/>
          <w:bCs w:val="false"/>
          <w:color w:val="333333"/>
          <w:sz w:val="22"/>
          <w:szCs w:val="22"/>
        </w:rPr>
        <w:t xml:space="preserve">dataLayer contains 1 tracking event(s): ['gtm.dom']</w:t>
      </w:r>
    </w:p>
    <w:p>
      <w:pPr>
        <w:spacing w:after="60" w:before="0"/>
      </w:pPr>
      <w:r>
        <w:rPr>
          <w:rFonts w:ascii="Arial" w:cs="Arial" w:eastAsia="Arial" w:hAnsi="Arial"/>
          <w:i/>
          <w:iCs/>
          <w:color w:val="555555"/>
          <w:sz w:val="20"/>
          <w:szCs w:val="20"/>
        </w:rPr>
        <w:t xml:space="preserve">Regulatory basis: GDPR Art. 7(3) · GDPR Art. 5(1)(e)</w:t>
      </w:r>
    </w:p>
    <w:p>
      <w:pPr>
        <w:spacing w:after="60" w:before="0"/>
      </w:pPr>
      <w:r>
        <w:rPr>
          <w:rFonts w:ascii="Arial" w:cs="Arial" w:eastAsia="Arial" w:hAnsi="Arial"/>
          <w:color w:val="666666"/>
          <w:sz w:val="18"/>
          <w:szCs w:val="18"/>
        </w:rPr>
        <w:t xml:space="preserve">Precedent: GDPR storage limitation principle requires that tracking data collection cease when legal basis is withdrawn.</w:t>
      </w:r>
    </w:p>
    <w:p>
      <w:pPr>
        <w:spacing w:after="120" w:before="60"/>
      </w:pPr>
      <w:r>
        <w:rPr>
          <w:rFonts w:ascii="Arial" w:cs="Arial" w:eastAsia="Arial" w:hAnsi="Arial"/>
          <w:b/>
          <w:bCs/>
          <w:sz w:val="20"/>
          <w:szCs w:val="20"/>
        </w:rPr>
        <w:t xml:space="preserve">Remediation: Clear or prevent population of dataLayer with tracking events like 'gtm.dom' when consent is rejected.</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tbl>
      <w:tblPr>
        <w:tblW w:type="dxa" w:w="9400"/>
        <w:tblBorders>
          <w:top w:val="single" w:color="auto" w:sz="4"/>
          <w:left w:val="single" w:color="auto" w:sz="4"/>
          <w:bottom w:val="single" w:color="auto" w:sz="4"/>
          <w:right w:val="single" w:color="auto" w:sz="4"/>
          <w:insideH w:val="single" w:color="auto" w:sz="4"/>
          <w:insideV w:val="single" w:color="auto" w:sz="4"/>
        </w:tblBorders>
      </w:tblPr>
      <w:tblGrid>
        <w:gridCol w:w="1500"/>
        <w:gridCol w:w="1800"/>
        <w:gridCol w:w="900"/>
        <w:gridCol w:w="1400"/>
        <w:gridCol w:w="1000"/>
        <w:gridCol w:w="800"/>
      </w:tblGrid>
      <w:tr>
        <w:trPr>
          <w:tblHeader/>
        </w:trPr>
        <w:tc>
          <w:tcPr>
            <w:tcW w:type="dxa" w:w="15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Domain</w:t>
            </w:r>
          </w:p>
        </w:tc>
        <w:tc>
          <w:tcPr>
            <w:tcW w:type="dxa" w:w="9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Expires</w:t>
            </w:r>
          </w:p>
        </w:tc>
        <w:tc>
          <w:tcPr>
            <w:tcW w:type="dxa" w:w="14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Necessary</w:t>
            </w:r>
          </w:p>
        </w:tc>
        <w:tc>
          <w:tcPr>
            <w:tcW w:type="dxa" w:w="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Declared</w:t>
            </w:r>
          </w:p>
        </w:tc>
      </w:tr>
      <w:tr>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CookieConsent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www.waivern.com</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365.0d</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ESSENTIAL</w:t>
            </w:r>
          </w:p>
        </w:tc>
        <w:tc>
          <w:tcPr>
            <w:tcW w:type="dxa" w:w="1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2800"/>
        <w:gridCol w:w="1800"/>
        <w:gridCol w:w="960"/>
      </w:tblGrid>
      <w:tr>
        <w:trPr>
          <w:tblHeader/>
        </w:trPr>
        <w:tc>
          <w:tcPr>
            <w:tcW w:type="dxa" w:w="2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Domain</w:t>
            </w:r>
          </w:p>
        </w:tc>
        <w:tc>
          <w:tcPr>
            <w:tcW w:type="dxa" w:w="2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Vendor</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96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Requests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region1.google-analytics.com</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 Analytics</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ANALYTICS</w:t>
            </w:r>
          </w:p>
        </w:tc>
        <w:tc>
          <w:tcPr>
            <w:tcW w:type="dxa" w:w="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pStyle w:val="ListParagraph"/>
        <w:numPr>
          <w:ilvl w:val="0"/>
          <w:numId w:val="2"/>
        </w:numPr>
        <w:spacing w:after="40" w:before="100"/>
      </w:pPr>
      <w:r>
        <w:rPr>
          <w:rFonts w:ascii="Arial" w:cs="Arial" w:eastAsia="Arial" w:hAnsi="Arial"/>
          <w:b/>
          <w:bCs/>
          <w:sz w:val="22"/>
          <w:szCs w:val="22"/>
        </w:rPr>
        <w:t xml:space="preserve">Implement technical blocking of all tracking before consent banner interaction</w:t>
      </w:r>
    </w:p>
    <w:p>
      <w:pPr>
        <w:spacing w:after="60" w:before="60"/>
      </w:pPr>
      <w:r>
        <w:rPr>
          <w:rFonts w:ascii="Arial" w:cs="Arial" w:eastAsia="Arial" w:hAnsi="Arial"/>
          <w:b w:val="false"/>
          <w:bCs w:val="false"/>
          <w:color w:val="555555"/>
          <w:sz w:val="22"/>
          <w:szCs w:val="22"/>
        </w:rPr>
        <w:t xml:space="preserve">Effort: high  |  Impact: Prevents pre-consent violations and establishes compliant baseline state</w:t>
      </w:r>
    </w:p>
    <w:p>
      <w:pPr>
        <w:pStyle w:val="ListParagraph"/>
        <w:numPr>
          <w:ilvl w:val="0"/>
          <w:numId w:val="2"/>
        </w:numPr>
        <w:spacing w:after="40" w:before="100"/>
      </w:pPr>
      <w:r>
        <w:rPr>
          <w:rFonts w:ascii="Arial" w:cs="Arial" w:eastAsia="Arial" w:hAnsi="Arial"/>
          <w:b/>
          <w:bCs/>
          <w:sz w:val="22"/>
          <w:szCs w:val="22"/>
        </w:rPr>
        <w:t xml:space="preserve">Configure complete tracking cessation upon consent rejection across all pages</w:t>
      </w:r>
    </w:p>
    <w:p>
      <w:pPr>
        <w:spacing w:after="60" w:before="60"/>
      </w:pPr>
      <w:r>
        <w:rPr>
          <w:rFonts w:ascii="Arial" w:cs="Arial" w:eastAsia="Arial" w:hAnsi="Arial"/>
          <w:b w:val="false"/>
          <w:bCs w:val="false"/>
          <w:color w:val="555555"/>
          <w:sz w:val="22"/>
          <w:szCs w:val="22"/>
        </w:rPr>
        <w:t xml:space="preserve">Effort: high  |  Impact: Ensures consent withdrawal is technically effective site-wide</w:t>
      </w:r>
    </w:p>
    <w:p>
      <w:pPr>
        <w:pStyle w:val="ListParagraph"/>
        <w:numPr>
          <w:ilvl w:val="0"/>
          <w:numId w:val="2"/>
        </w:numPr>
        <w:spacing w:after="40" w:before="100"/>
      </w:pPr>
      <w:r>
        <w:rPr>
          <w:rFonts w:ascii="Arial" w:cs="Arial" w:eastAsia="Arial" w:hAnsi="Arial"/>
          <w:b/>
          <w:bCs/>
          <w:sz w:val="22"/>
          <w:szCs w:val="22"/>
        </w:rPr>
        <w:t xml:space="preserve">Deploy persistent consent management widget accessible from all pages</w:t>
      </w:r>
    </w:p>
    <w:p>
      <w:pPr>
        <w:spacing w:after="60" w:before="60"/>
      </w:pPr>
      <w:r>
        <w:rPr>
          <w:rFonts w:ascii="Arial" w:cs="Arial" w:eastAsia="Arial" w:hAnsi="Arial"/>
          <w:b w:val="false"/>
          <w:bCs w:val="false"/>
          <w:color w:val="555555"/>
          <w:sz w:val="22"/>
          <w:szCs w:val="22"/>
        </w:rPr>
        <w:t xml:space="preserve">Effort: medium  |  Impact: Provides required ongoing consent control mechanism for users</w:t>
      </w:r>
    </w:p>
    <w:p>
      <w:pPr>
        <w:pStyle w:val="ListParagraph"/>
        <w:numPr>
          <w:ilvl w:val="0"/>
          <w:numId w:val="2"/>
        </w:numPr>
        <w:spacing w:after="40" w:before="100"/>
      </w:pPr>
      <w:r>
        <w:rPr>
          <w:rFonts w:ascii="Arial" w:cs="Arial" w:eastAsia="Arial" w:hAnsi="Arial"/>
          <w:b/>
          <w:bCs/>
          <w:sz w:val="22"/>
          <w:szCs w:val="22"/>
        </w:rPr>
        <w:t xml:space="preserve">Clean dataLayer management to prevent tracking events post-rejection</w:t>
      </w:r>
    </w:p>
    <w:p>
      <w:pPr>
        <w:spacing w:after="60" w:before="60"/>
      </w:pPr>
      <w:r>
        <w:rPr>
          <w:rFonts w:ascii="Arial" w:cs="Arial" w:eastAsia="Arial" w:hAnsi="Arial"/>
          <w:b w:val="false"/>
          <w:bCs w:val="false"/>
          <w:color w:val="555555"/>
          <w:sz w:val="22"/>
          <w:szCs w:val="22"/>
        </w:rPr>
        <w:t xml:space="preserve">Effort: low  |  Impact: Eliminates residual tracking artifacts after consent withdrawal</w:t>
      </w:r>
    </w:p>
    <w:p>
      <w:pPr>
        <w:pStyle w:val="ListParagraph"/>
        <w:numPr>
          <w:ilvl w:val="0"/>
          <w:numId w:val="2"/>
        </w:numPr>
        <w:spacing w:after="40" w:before="100"/>
      </w:pPr>
      <w:r>
        <w:rPr>
          <w:rFonts w:ascii="Arial" w:cs="Arial" w:eastAsia="Arial" w:hAnsi="Arial"/>
          <w:b/>
          <w:bCs/>
          <w:sz w:val="22"/>
          <w:szCs w:val="22"/>
        </w:rPr>
        <w:t xml:space="preserve">Conduct comprehensive testing across user journeys and subpages</w:t>
      </w:r>
    </w:p>
    <w:p>
      <w:pPr>
        <w:spacing w:after="60" w:before="60"/>
      </w:pPr>
      <w:r>
        <w:rPr>
          <w:rFonts w:ascii="Arial" w:cs="Arial" w:eastAsia="Arial" w:hAnsi="Arial"/>
          <w:b w:val="false"/>
          <w:bCs w:val="false"/>
          <w:color w:val="555555"/>
          <w:sz w:val="22"/>
          <w:szCs w:val="22"/>
        </w:rPr>
        <w:t xml:space="preserve">Effort: medium  |  Impact: Validates technical implementation effectiveness across entire site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e825b482f18c127038adbe784c9520a06581a87b.png"/><Relationship Id="rId9" Type="http://schemas.openxmlformats.org/officeDocument/2006/relationships/image" Target="media/ae1c816426867a70d27538fcf70b421a637e1ad0.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2026-04-09T14:52:40.903Z</dcterms:created>
  <dcterms:modified xsi:type="dcterms:W3CDTF">2026-04-09T14:52:40.904Z</dcterms:modified>
</cp:coreProperties>
</file>

<file path=docProps/custom.xml><?xml version="1.0" encoding="utf-8"?>
<Properties xmlns="http://schemas.openxmlformats.org/officeDocument/2006/custom-properties" xmlns:vt="http://schemas.openxmlformats.org/officeDocument/2006/docPropsVTypes"/>
</file>