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600"/>
        <w:jc w:val="center"/>
      </w:pPr>
      <w:r>
        <w:drawing>
          <wp:inline distT="0" distB="0" distL="0" distR="0">
            <wp:extent cx="1714500" cy="1714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714500" cy="1714500"/>
                    </a:xfrm>
                    <a:prstGeom prst="rect">
                      <a:avLst/>
                    </a:prstGeom>
                  </pic:spPr>
                </pic:pic>
              </a:graphicData>
            </a:graphic>
          </wp:inline>
        </w:drawing>
      </w:r>
    </w:p>
    <w:p>
      <w:pPr>
        <w:spacing w:after="60" w:before="200"/>
        <w:jc w:val="center"/>
      </w:pPr>
      <w:r>
        <w:rPr>
          <w:rFonts w:ascii="Arial" w:cs="Arial" w:eastAsia="Arial" w:hAnsi="Arial"/>
          <w:b/>
          <w:bCs/>
          <w:color w:val="1A1A2E"/>
          <w:sz w:val="48"/>
          <w:szCs w:val="48"/>
        </w:rPr>
        <w:t xml:space="preserve">CONSENT COMPLIANCE ASSESSMENT</w:t>
      </w:r>
    </w:p>
    <w:p>
      <w:pPr>
        <w:spacing w:after="120" w:before="60"/>
        <w:jc w:val="center"/>
      </w:pPr>
      <w:r>
        <w:rPr>
          <w:rFonts w:ascii="Arial" w:cs="Arial" w:eastAsia="Arial" w:hAnsi="Arial"/>
          <w:b/>
          <w:bCs/>
          <w:color w:val="D97706"/>
          <w:sz w:val="22"/>
          <w:szCs w:val="22"/>
        </w:rPr>
        <w:t xml:space="preserve">BETA TEST RELEASE</w:t>
      </w:r>
    </w:p>
    <w:p>
      <w:pPr>
        <w:spacing w:after="120" w:before="120"/>
        <w:jc w:val="center"/>
      </w:pPr>
      <w:r>
        <w:rPr>
          <w:rFonts w:ascii="Arial" w:cs="Arial" w:eastAsia="Arial" w:hAnsi="Arial"/>
          <w:color w:val="2980B9"/>
          <w:sz w:val="28"/>
          <w:szCs w:val="28"/>
        </w:rPr>
        <w:t xml:space="preserve">https://hemnet.se</w:t>
      </w:r>
    </w:p>
    <w:p>
      <w:pPr>
        <w:spacing w:after="60" w:before="60"/>
        <w:jc w:val="center"/>
      </w:pPr>
      <w:r>
        <w:rPr>
          <w:rFonts w:ascii="Arial" w:cs="Arial" w:eastAsia="Arial" w:hAnsi="Arial"/>
          <w:color w:val="555555"/>
          <w:sz w:val="22"/>
          <w:szCs w:val="22"/>
        </w:rPr>
        <w:t xml:space="preserve">Test date: 2026-04-01</w:t>
      </w:r>
    </w:p>
    <w:p>
      <w:pPr>
        <w:spacing w:after="480" w:before="60"/>
        <w:jc w:val="center"/>
      </w:pPr>
      <w:r>
        <w:rPr>
          <w:rFonts w:ascii="Arial" w:cs="Arial" w:eastAsia="Arial" w:hAnsi="Arial"/>
          <w:color w:val="555555"/>
          <w:sz w:val="22"/>
          <w:szCs w:val="22"/>
        </w:rPr>
        <w:t xml:space="preserve">CMP: Unknown</w:t>
      </w:r>
    </w:p>
    <w:p>
      <w:pPr>
        <w:spacing w:after="60" w:before="0"/>
        <w:jc w:val="center"/>
      </w:pPr>
      <w:r>
        <w:rPr>
          <w:rFonts w:ascii="Arial" w:cs="Arial" w:eastAsia="Arial" w:hAnsi="Arial"/>
          <w:b/>
          <w:bCs/>
          <w:color w:val="C0392B"/>
          <w:sz w:val="36"/>
          <w:szCs w:val="36"/>
        </w:rPr>
        <w:t xml:space="preserve">1 FAIL</w:t>
      </w:r>
      <w:r>
        <w:rPr>
          <w:rFonts w:ascii="Arial" w:cs="Arial" w:eastAsia="Arial" w:hAnsi="Arial"/>
          <w:color w:val="999999"/>
          <w:sz w:val="36"/>
          <w:szCs w:val="36"/>
        </w:rPr>
        <w:t xml:space="preserve">  ·  </w:t>
      </w:r>
      <w:r>
        <w:rPr>
          <w:rFonts w:ascii="Arial" w:cs="Arial" w:eastAsia="Arial" w:hAnsi="Arial"/>
          <w:b/>
          <w:bCs/>
          <w:color w:val="27AE60"/>
          <w:sz w:val="36"/>
          <w:szCs w:val="36"/>
        </w:rPr>
        <w:t xml:space="preserve">2 PASS</w:t>
      </w:r>
      <w:r>
        <w:rPr>
          <w:rFonts w:ascii="Arial" w:cs="Arial" w:eastAsia="Arial" w:hAnsi="Arial"/>
          <w:color w:val="999999"/>
          <w:sz w:val="36"/>
          <w:szCs w:val="36"/>
        </w:rPr>
        <w:t xml:space="preserve">  ·  </w:t>
      </w:r>
      <w:r>
        <w:rPr>
          <w:rFonts w:ascii="Arial" w:cs="Arial" w:eastAsia="Arial" w:hAnsi="Arial"/>
          <w:b/>
          <w:bCs/>
          <w:color w:val="7F8C8D"/>
          <w:sz w:val="36"/>
          <w:szCs w:val="36"/>
        </w:rPr>
        <w:t xml:space="preserve">17 MANUAL</w:t>
      </w:r>
    </w:p>
    <w:p>
      <w:pPr>
        <w:spacing w:after="1440" w:before="60"/>
        <w:jc w:val="center"/>
      </w:pPr>
      <w:r>
        <w:rPr>
          <w:rFonts w:ascii="Arial" w:cs="Arial" w:eastAsia="Arial" w:hAnsi="Arial"/>
          <w:b/>
          <w:bCs/>
          <w:color w:val="E67E22"/>
          <w:sz w:val="28"/>
          <w:szCs w:val="28"/>
        </w:rPr>
        <w:t xml:space="preserve">OVERALL RISK: MEDIUM</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1. Executive Summary</w:t>
      </w:r>
    </w:p>
    <w:p>
      <w:pPr>
        <w:spacing w:after="60" w:before="60"/>
      </w:pPr>
      <w:r>
        <w:rPr>
          <w:rFonts w:ascii="Arial" w:cs="Arial" w:eastAsia="Arial" w:hAnsi="Arial"/>
          <w:b w:val="false"/>
          <w:bCs w:val="false"/>
          <w:color w:val="333333"/>
          <w:sz w:val="22"/>
          <w:szCs w:val="22"/>
        </w:rPr>
        <w:t xml:space="preserve">Hemnet.se lacks a persistent consent withdrawal mechanism, preventing users from easily revoking previously given consent for cookie tracking and data processing. Under Swedish GDPR implementation and ePrivacy law (LEK), users must have the ability to withdraw consent as easily as it was given. The Swedish DPA (IMY) has actively enforced cookie consent requirements and issued significant fines for non-compliance. Without a visible consent management interface, the site risks regulatory action and fails to meet transparency obligations.</w:t>
      </w:r>
    </w:p>
    <w:p/>
    <w:p>
      <w:pPr>
        <w:pStyle w:val="Heading1"/>
        <w:pBdr>
          <w:bottom w:val="single" w:color="1A1A2E" w:sz="2"/>
        </w:pBdr>
        <w:spacing w:after="180" w:before="360"/>
      </w:pPr>
      <w:r>
        <w:rPr>
          <w:rFonts w:ascii="Arial" w:cs="Arial" w:eastAsia="Arial" w:hAnsi="Arial"/>
          <w:b/>
          <w:bCs/>
          <w:color w:val="1A1A2E"/>
          <w:sz w:val="28"/>
          <w:szCs w:val="28"/>
        </w:rPr>
        <w:t xml:space="preserve">2. Methodology</w:t>
      </w:r>
    </w:p>
    <w:p>
      <w:pPr>
        <w:spacing w:after="60" w:before="60"/>
      </w:pPr>
      <w:r>
        <w:rPr>
          <w:rFonts w:ascii="Arial" w:cs="Arial" w:eastAsia="Arial" w:hAnsi="Arial"/>
          <w:b w:val="false"/>
          <w:bCs w:val="false"/>
          <w:color w:val="333333"/>
          <w:sz w:val="22"/>
          <w:szCs w:val="22"/>
        </w:rPr>
        <w:t xml:space="preserve">Conducted using Waivern Consent Analyser (C1: HAR network analysis; C2: Playwright browser automation; C3: AI compliance analysis). Three phases: Accept All, Reject All, persistence check. Framework: ePrivacy Art. 5(3), GDPR Arts. 6/7/25, Datatilsynet guidance.</w:t>
      </w:r>
    </w:p>
    <w:p/>
    <w:tbl>
      <w:tblPr>
        <w:tblW w:type="dxa" w:w="9386"/>
        <w:tblBorders>
          <w:top w:val="single" w:color="auto" w:sz="4"/>
          <w:left w:val="single" w:color="auto" w:sz="4"/>
          <w:bottom w:val="single" w:color="auto" w:sz="4"/>
          <w:right w:val="single" w:color="auto" w:sz="4"/>
          <w:insideH w:val="single" w:color="auto" w:sz="4"/>
          <w:insideV w:val="single" w:color="auto" w:sz="4"/>
        </w:tblBorders>
      </w:tblPr>
      <w:tblGrid>
        <w:gridCol w:w="3000"/>
        <w:gridCol w:w="6386"/>
      </w:tblGrid>
      <w:tr>
        <w:trPr>
          <w:tblHeader/>
        </w:trPr>
        <w:tc>
          <w:tcPr>
            <w:tcW w:type="dxa" w:w="30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Parameter</w:t>
            </w:r>
          </w:p>
        </w:tc>
        <w:tc>
          <w:tcPr>
            <w:tcW w:type="dxa" w:w="6386"/>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Value</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Target URL</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https://hemnet.se</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Test Date</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2026-04-01</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Analysis Framework</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MEDIUM risk</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Probe Location</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 Amsterdam, North Holland, The Netherlands (208.77.244.106) — Railway</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CMP Platform</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Accept Button</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Reject Button</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(0 clicks)</w:t>
            </w:r>
          </w:p>
        </w:tc>
      </w:tr>
    </w:tbl>
    <w:p/>
    <w:p>
      <w:pPr>
        <w:pBdr>
          <w:top w:val="single" w:color="E6C96A" w:sz="1"/>
          <w:bottom w:val="single" w:color="E6C96A" w:sz="1"/>
          <w:left w:val="single" w:color="E67E22" w:sz="6"/>
          <w:right w:val="single" w:color="E6C96A" w:sz="1"/>
        </w:pBdr>
        <w:shd w:fill="FFF3CD" w:val="clear"/>
        <w:spacing w:after="120" w:before="120"/>
        <w:ind w:left="120" w:right="120"/>
      </w:pPr>
      <w:r>
        <w:rPr>
          <w:rFonts w:ascii="Arial" w:cs="Arial" w:eastAsia="Arial" w:hAnsi="Arial"/>
          <w:i/>
          <w:iCs/>
          <w:color w:val="856404"/>
          <w:sz w:val="20"/>
          <w:szCs w:val="20"/>
        </w:rPr>
        <w:t xml:space="preserve">⚠️  Important: Results reflect how https://hemnet.se presents to the probe location (Amsterdam, North Holland, The Netherlands (208.77.244.106) — Railway). Sites may show different consent controls to users in different jurisdictions (e.g. GDPR banners only to EU IPs; CCPA opt-out links only to California IPs). Re-run from a different location to test geo-specific behaviour.</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3. Summary of Findings</w:t>
      </w:r>
    </w:p>
    <w:tbl>
      <w:tblPr>
        <w:tblW w:type="dxa" w:w="7380"/>
        <w:tblBorders>
          <w:top w:val="single" w:color="auto" w:sz="4"/>
          <w:left w:val="single" w:color="auto" w:sz="4"/>
          <w:bottom w:val="single" w:color="auto" w:sz="4"/>
          <w:right w:val="single" w:color="auto" w:sz="4"/>
          <w:insideH w:val="single" w:color="auto" w:sz="4"/>
          <w:insideV w:val="single" w:color="auto" w:sz="4"/>
        </w:tblBorders>
      </w:tblPr>
      <w:tblGrid>
        <w:gridCol w:w="5580"/>
        <w:gridCol w:w="1800"/>
      </w:tblGrid>
      <w:tr>
        <w:trPr>
          <w:tblHeader/>
        </w:trPr>
        <w:tc>
          <w:tcPr>
            <w:tcW w:type="dxa" w:w="558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Category</w:t>
            </w:r>
          </w:p>
        </w:tc>
        <w:tc>
          <w:tcPr>
            <w:tcW w:type="dxa" w:w="18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Result</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Pre Consent Clean</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NOT_RUN</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 Tracking Cookies Pre Consent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Tracker Globals Undefined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 Tracking Storage Pre Consent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Network Blocked After Decline</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NOT_RUN</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Third Party Cookies Absent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NOT_RUN</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Doc Cookie Clean Post Reject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Web Storage Clean Post Reject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First Party Cookies Classified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NOT_RUN</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Server Side Cookies Gated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NOT_RUN</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 Cname Cloaking</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NOT_RUN</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Tracker Globals Absent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Dom Scripts Blocked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Reject Equals Accept Clicks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 Preticked Boxes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Persistent Withdrawal Widget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FAIL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 Cookie Wall</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Consent Persists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bl>
    <w:p>
      <w:r>
        <w:br w:type="page"/>
      </w:r>
    </w:p>
    <w:p>
      <w:pPr>
        <w:pStyle w:val="Heading1"/>
        <w:pBdr>
          <w:bottom w:val="single" w:color="1A1A2E" w:sz="2"/>
        </w:pBdr>
        <w:spacing w:after="180" w:before="360"/>
      </w:pPr>
      <w:r>
        <w:rPr>
          <w:rFonts w:ascii="Arial" w:cs="Arial" w:eastAsia="Arial" w:hAnsi="Arial"/>
          <w:b/>
          <w:bCs/>
          <w:color w:val="1A1A2E"/>
          <w:sz w:val="28"/>
          <w:szCs w:val="28"/>
        </w:rPr>
        <w:t xml:space="preserve">4. Detailed Findings</w:t>
      </w:r>
    </w:p>
    <w:p>
      <w:pPr>
        <w:pStyle w:val="Heading2"/>
        <w:spacing w:after="120" w:before="280"/>
      </w:pPr>
      <w:r>
        <w:rPr>
          <w:rFonts w:ascii="Arial" w:cs="Arial" w:eastAsia="Arial" w:hAnsi="Arial"/>
          <w:b/>
          <w:bCs/>
          <w:color w:val="E67E22"/>
          <w:sz w:val="24"/>
          <w:szCs w:val="24"/>
        </w:rPr>
        <w:t xml:space="preserve">4.2 Medium Risk</w:t>
      </w:r>
    </w:p>
    <w:p>
      <w:pPr>
        <w:spacing w:after="60" w:before="200"/>
      </w:pPr>
      <w:r>
        <w:rPr>
          <w:rFonts w:ascii="Arial" w:cs="Arial" w:eastAsia="Arial" w:hAnsi="Arial"/>
          <w:b/>
          <w:bCs/>
          <w:color w:val="E67E22"/>
          <w:sz w:val="22"/>
          <w:szCs w:val="22"/>
        </w:rPr>
        <w:t xml:space="preserve">K.5  </w:t>
      </w:r>
      <w:r>
        <w:rPr>
          <w:rFonts w:ascii="Arial" w:cs="Arial" w:eastAsia="Arial" w:hAnsi="Arial"/>
          <w:b/>
          <w:bCs/>
          <w:sz w:val="22"/>
          <w:szCs w:val="22"/>
        </w:rPr>
        <w:t xml:space="preserve">Persistent consent withdrawal mechanism accessible after interaction</w:t>
      </w:r>
    </w:p>
    <w:p>
      <w:pPr>
        <w:spacing w:after="60" w:before="60"/>
      </w:pPr>
      <w:r>
        <w:rPr>
          <w:rFonts w:ascii="Arial" w:cs="Arial" w:eastAsia="Arial" w:hAnsi="Arial"/>
          <w:b w:val="false"/>
          <w:bCs w:val="false"/>
          <w:color w:val="333333"/>
          <w:sz w:val="22"/>
          <w:szCs w:val="22"/>
        </w:rPr>
        <w:t xml:space="preserve">No persistent consent widget found. Users cannot easily withdraw consent.</w:t>
      </w:r>
    </w:p>
    <w:p>
      <w:pPr>
        <w:spacing w:after="60" w:before="0"/>
      </w:pPr>
      <w:r>
        <w:rPr>
          <w:rFonts w:ascii="Arial" w:cs="Arial" w:eastAsia="Arial" w:hAnsi="Arial"/>
          <w:i/>
          <w:iCs/>
          <w:color w:val="555555"/>
          <w:sz w:val="20"/>
          <w:szCs w:val="20"/>
        </w:rPr>
        <w:t xml:space="preserve">Regulatory basis: GDPR Art. 7(3) · GDPR Art. 5(1)(a) · ePrivacy Directive Art. 5(3) · Swedish LEK</w:t>
      </w:r>
    </w:p>
    <w:p>
      <w:pPr>
        <w:spacing w:after="60" w:before="0"/>
      </w:pPr>
      <w:r>
        <w:rPr>
          <w:rFonts w:ascii="Arial" w:cs="Arial" w:eastAsia="Arial" w:hAnsi="Arial"/>
          <w:color w:val="666666"/>
          <w:sz w:val="18"/>
          <w:szCs w:val="18"/>
        </w:rPr>
        <w:t xml:space="preserve">Precedent: IMY has consistently enforced consent withdrawal requirements and issued guidance that users must be able to withdraw consent as easily as giving it, following EDPB standards.</w:t>
      </w:r>
    </w:p>
    <w:p>
      <w:pPr>
        <w:spacing w:after="120" w:before="60"/>
      </w:pPr>
      <w:r>
        <w:rPr>
          <w:rFonts w:ascii="Arial" w:cs="Arial" w:eastAsia="Arial" w:hAnsi="Arial"/>
          <w:b/>
          <w:bCs/>
          <w:sz w:val="20"/>
          <w:szCs w:val="20"/>
        </w:rPr>
        <w:t xml:space="preserve">Remediation: Implement a persistent consent management widget or clear link in the website footer/privacy settings that allows users to access and modify their consent choices at any time.</w:t>
      </w:r>
    </w:p>
    <w:p>
      <w:pPr>
        <w:pBdr>
          <w:bottom w:val="single" w:color="DDDDDD" w:sz="1"/>
        </w:pBdr>
      </w:pP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5. Cookie Inventory</w:t>
      </w:r>
    </w:p>
    <w:p>
      <w:pPr>
        <w:spacing w:after="60" w:before="60"/>
      </w:pPr>
      <w:r>
        <w:rPr>
          <w:rFonts w:ascii="Arial" w:cs="Arial" w:eastAsia="Arial" w:hAnsi="Arial"/>
          <w:b w:val="false"/>
          <w:bCs w:val="false"/>
          <w:color w:val="888888"/>
          <w:sz w:val="22"/>
          <w:szCs w:val="22"/>
        </w:rPr>
        <w:t xml:space="preserve">No cookie inventory available.</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6. Third-Party Tracker Inventory</w:t>
      </w:r>
    </w:p>
    <w:p>
      <w:pPr>
        <w:spacing w:after="60" w:before="60"/>
      </w:pPr>
      <w:r>
        <w:rPr>
          <w:rFonts w:ascii="Arial" w:cs="Arial" w:eastAsia="Arial" w:hAnsi="Arial"/>
          <w:b w:val="false"/>
          <w:bCs w:val="false"/>
          <w:color w:val="888888"/>
          <w:sz w:val="22"/>
          <w:szCs w:val="22"/>
        </w:rPr>
        <w:t xml:space="preserve">No post-reject tracker data available.</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7. Remediation Roadmap</w:t>
      </w:r>
    </w:p>
    <w:p>
      <w:pPr>
        <w:pStyle w:val="ListParagraph"/>
        <w:numPr>
          <w:ilvl w:val="0"/>
          <w:numId w:val="2"/>
        </w:numPr>
        <w:spacing w:after="40" w:before="100"/>
      </w:pPr>
      <w:r>
        <w:rPr>
          <w:rFonts w:ascii="Arial" w:cs="Arial" w:eastAsia="Arial" w:hAnsi="Arial"/>
          <w:b/>
          <w:bCs/>
          <w:sz w:val="22"/>
          <w:szCs w:val="22"/>
        </w:rPr>
        <w:t xml:space="preserve">Implement a persistent consent management interface accessible from all pages</w:t>
      </w:r>
    </w:p>
    <w:p>
      <w:pPr>
        <w:spacing w:after="60" w:before="60"/>
      </w:pPr>
      <w:r>
        <w:rPr>
          <w:rFonts w:ascii="Arial" w:cs="Arial" w:eastAsia="Arial" w:hAnsi="Arial"/>
          <w:b w:val="false"/>
          <w:bCs w:val="false"/>
          <w:color w:val="555555"/>
          <w:sz w:val="22"/>
          <w:szCs w:val="22"/>
        </w:rPr>
        <w:t xml:space="preserve">Effort: medium  |  Impact: Enables GDPR Article 7(3) compliance and reduces regulatory enforcement risk</w:t>
      </w:r>
    </w:p>
    <w:p>
      <w:pPr>
        <w:pStyle w:val="ListParagraph"/>
        <w:numPr>
          <w:ilvl w:val="0"/>
          <w:numId w:val="2"/>
        </w:numPr>
        <w:spacing w:after="40" w:before="100"/>
      </w:pPr>
      <w:r>
        <w:rPr>
          <w:rFonts w:ascii="Arial" w:cs="Arial" w:eastAsia="Arial" w:hAnsi="Arial"/>
          <w:b/>
          <w:bCs/>
          <w:sz w:val="22"/>
          <w:szCs w:val="22"/>
        </w:rPr>
        <w:t xml:space="preserve">Add clear 'Cookie Settings' or 'Privacy Preferences' link in website footer</w:t>
      </w:r>
    </w:p>
    <w:p>
      <w:pPr>
        <w:spacing w:after="60" w:before="60"/>
      </w:pPr>
      <w:r>
        <w:rPr>
          <w:rFonts w:ascii="Arial" w:cs="Arial" w:eastAsia="Arial" w:hAnsi="Arial"/>
          <w:b w:val="false"/>
          <w:bCs w:val="false"/>
          <w:color w:val="555555"/>
          <w:sz w:val="22"/>
          <w:szCs w:val="22"/>
        </w:rPr>
        <w:t xml:space="preserve">Effort: low  |  Impact: Provides transparent access to consent controls as required by Swedish LEK</w:t>
      </w:r>
    </w:p>
    <w:p>
      <w:pPr>
        <w:pStyle w:val="ListParagraph"/>
        <w:numPr>
          <w:ilvl w:val="0"/>
          <w:numId w:val="2"/>
        </w:numPr>
        <w:spacing w:after="40" w:before="100"/>
      </w:pPr>
      <w:r>
        <w:rPr>
          <w:rFonts w:ascii="Arial" w:cs="Arial" w:eastAsia="Arial" w:hAnsi="Arial"/>
          <w:b/>
          <w:bCs/>
          <w:sz w:val="22"/>
          <w:szCs w:val="22"/>
        </w:rPr>
        <w:t xml:space="preserve">Ensure consent withdrawal immediately stops data processing and cookie tracking</w:t>
      </w:r>
    </w:p>
    <w:p>
      <w:pPr>
        <w:spacing w:after="60" w:before="60"/>
      </w:pPr>
      <w:r>
        <w:rPr>
          <w:rFonts w:ascii="Arial" w:cs="Arial" w:eastAsia="Arial" w:hAnsi="Arial"/>
          <w:b w:val="false"/>
          <w:bCs w:val="false"/>
          <w:color w:val="555555"/>
          <w:sz w:val="22"/>
          <w:szCs w:val="22"/>
        </w:rPr>
        <w:t xml:space="preserve">Effort: medium  |  Impact: Prevents continued unlawful processing after consent withdrawal</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8. Regulatory References</w:t>
      </w:r>
    </w:p>
    <w:p>
      <w:pPr>
        <w:spacing w:after="60" w:before="60"/>
      </w:pPr>
      <w:r>
        <w:rPr>
          <w:rFonts w:ascii="Arial" w:cs="Arial" w:eastAsia="Arial" w:hAnsi="Arial"/>
          <w:b w:val="false"/>
          <w:bCs w:val="false"/>
          <w:color w:val="333333"/>
          <w:sz w:val="22"/>
          <w:szCs w:val="22"/>
        </w:rPr>
        <w:t xml:space="preserve">ePrivacy Directive 2002/58/EC Art. 5(3) — terminal device consent requirement.</w:t>
      </w:r>
    </w:p>
    <w:p>
      <w:pPr>
        <w:spacing w:after="60" w:before="60"/>
      </w:pPr>
      <w:r>
        <w:rPr>
          <w:rFonts w:ascii="Arial" w:cs="Arial" w:eastAsia="Arial" w:hAnsi="Arial"/>
          <w:b w:val="false"/>
          <w:bCs w:val="false"/>
          <w:color w:val="333333"/>
          <w:sz w:val="22"/>
          <w:szCs w:val="22"/>
        </w:rPr>
        <w:t xml:space="preserve">Norwegian ekomloven para 2-7b — national implementation of ePrivacy Directive.</w:t>
      </w:r>
    </w:p>
    <w:p>
      <w:pPr>
        <w:spacing w:after="60" w:before="60"/>
      </w:pPr>
      <w:r>
        <w:rPr>
          <w:rFonts w:ascii="Arial" w:cs="Arial" w:eastAsia="Arial" w:hAnsi="Arial"/>
          <w:b w:val="false"/>
          <w:bCs w:val="false"/>
          <w:color w:val="333333"/>
          <w:sz w:val="22"/>
          <w:szCs w:val="22"/>
        </w:rPr>
        <w:t xml:space="preserve">GDPR (EU) 2016/679 Arts. 5, 6, 7, 25 — lawfulness, consent, withdrawal, privacy by design.</w:t>
      </w:r>
    </w:p>
    <w:p>
      <w:pPr>
        <w:spacing w:after="60" w:before="60"/>
      </w:pPr>
      <w:r>
        <w:rPr>
          <w:rFonts w:ascii="Arial" w:cs="Arial" w:eastAsia="Arial" w:hAnsi="Arial"/>
          <w:b w:val="false"/>
          <w:bCs w:val="false"/>
          <w:color w:val="333333"/>
          <w:sz w:val="22"/>
          <w:szCs w:val="22"/>
        </w:rPr>
        <w:t xml:space="preserve">CJEU Planet49 C-673/17 (2019) — pre-ticked boxes invalid; consent must precede processing.</w:t>
      </w:r>
    </w:p>
    <w:p>
      <w:pPr>
        <w:spacing w:after="60" w:before="60"/>
      </w:pPr>
      <w:r>
        <w:rPr>
          <w:rFonts w:ascii="Arial" w:cs="Arial" w:eastAsia="Arial" w:hAnsi="Arial"/>
          <w:b w:val="false"/>
          <w:bCs w:val="false"/>
          <w:color w:val="333333"/>
          <w:sz w:val="22"/>
          <w:szCs w:val="22"/>
        </w:rPr>
        <w:t xml:space="preserve">EDPB Guidelines 05/2020 on consent — freely given, as easy to withdraw as give.</w:t>
      </w:r>
    </w:p>
    <w:p>
      <w:pPr>
        <w:spacing w:after="60" w:before="60"/>
      </w:pPr>
      <w:r>
        <w:rPr>
          <w:rFonts w:ascii="Arial" w:cs="Arial" w:eastAsia="Arial" w:hAnsi="Arial"/>
          <w:b w:val="false"/>
          <w:bCs w:val="false"/>
          <w:color w:val="333333"/>
          <w:sz w:val="22"/>
          <w:szCs w:val="22"/>
        </w:rPr>
        <w:t xml:space="preserve">EDPB Cookie Banner Taskforce Report (Jan 2023) — reject prominence, dark patterns.</w:t>
      </w:r>
    </w:p>
    <w:p>
      <w:pPr>
        <w:spacing w:after="60" w:before="60"/>
      </w:pPr>
      <w:r>
        <w:rPr>
          <w:rFonts w:ascii="Arial" w:cs="Arial" w:eastAsia="Arial" w:hAnsi="Arial"/>
          <w:b w:val="false"/>
          <w:bCs w:val="false"/>
          <w:color w:val="333333"/>
          <w:sz w:val="22"/>
          <w:szCs w:val="22"/>
        </w:rPr>
        <w:t xml:space="preserve">CNIL decisions (Dec 2021) — reject requiring more clicks = GDPR breach.</w:t>
      </w:r>
    </w:p>
    <w:p>
      <w:pPr>
        <w:spacing w:after="60" w:before="60"/>
      </w:pPr>
      <w:r>
        <w:rPr>
          <w:rFonts w:ascii="Arial" w:cs="Arial" w:eastAsia="Arial" w:hAnsi="Arial"/>
          <w:b w:val="false"/>
          <w:bCs w:val="false"/>
          <w:color w:val="333333"/>
          <w:sz w:val="22"/>
          <w:szCs w:val="22"/>
        </w:rPr>
        <w:t xml:space="preserve">Datatilsynet, Grindr decision (2022-2023) — RTB without valid consent, NOK 65M fine.</w:t>
      </w:r>
    </w:p>
    <w:p>
      <w:pPr>
        <w:spacing w:after="60" w:before="60"/>
      </w:pPr>
      <w:r>
        <w:rPr>
          <w:rFonts w:ascii="Arial" w:cs="Arial" w:eastAsia="Arial" w:hAnsi="Arial"/>
          <w:b w:val="false"/>
          <w:bCs w:val="false"/>
          <w:color w:val="333333"/>
          <w:sz w:val="22"/>
          <w:szCs w:val="22"/>
        </w:rPr>
        <w:t xml:space="preserve">IAB TCF 2.2 Policy (2023) — bid request initiation is itself a processing activity.</w:t>
      </w:r>
    </w:p>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Disclaimer</w:t>
      </w:r>
    </w:p>
    <w:p>
      <w:pPr>
        <w:spacing w:after="60" w:before="60"/>
      </w:pPr>
      <w:r>
        <w:rPr>
          <w:rFonts w:ascii="Arial" w:cs="Arial" w:eastAsia="Arial" w:hAnsi="Arial"/>
          <w:b w:val="false"/>
          <w:bCs w:val="false"/>
          <w:color w:val="555555"/>
          <w:sz w:val="22"/>
          <w:szCs w:val="22"/>
        </w:rPr>
        <w:t xml:space="preserve">This report is produced by the Waivern Consent Analyser, a product of Waivern Limited. It is provided for informational purposes only and does not constitute legal advice, regulatory guidance, or professional compliance consulting.</w:t>
      </w:r>
    </w:p>
    <w:p/>
    <w:p>
      <w:pPr>
        <w:spacing w:after="60" w:before="60"/>
      </w:pPr>
      <w:r>
        <w:rPr>
          <w:rFonts w:ascii="Arial" w:cs="Arial" w:eastAsia="Arial" w:hAnsi="Arial"/>
          <w:b w:val="false"/>
          <w:bCs w:val="false"/>
          <w:color w:val="555555"/>
          <w:sz w:val="22"/>
          <w:szCs w:val="22"/>
        </w:rPr>
        <w:t xml:space="preserve">No warranty of accuracy or completeness: While Waivern endeavours to maintain accuracy, no representations or warranties, express or implied, are made regarding the accuracy, completeness, reliability, or suitability of any information in this report. Automated analysis may produce false positives or false negatives.</w:t>
      </w:r>
    </w:p>
    <w:p/>
    <w:p>
      <w:pPr>
        <w:spacing w:after="60" w:before="60"/>
      </w:pPr>
      <w:r>
        <w:rPr>
          <w:rFonts w:ascii="Arial" w:cs="Arial" w:eastAsia="Arial" w:hAnsi="Arial"/>
          <w:b w:val="false"/>
          <w:bCs w:val="false"/>
          <w:color w:val="555555"/>
          <w:sz w:val="22"/>
          <w:szCs w:val="22"/>
        </w:rPr>
        <w:t xml:space="preserve">Limitations: This tool analyses websites from a single geographic location at a specific point in time. Results may vary based on network conditions, website configuration changes, A/B testing, bot detection, and other factors.</w:t>
      </w:r>
    </w:p>
    <w:p/>
    <w:p>
      <w:pPr>
        <w:spacing w:after="60" w:before="60"/>
      </w:pPr>
      <w:r>
        <w:rPr>
          <w:rFonts w:ascii="Arial" w:cs="Arial" w:eastAsia="Arial" w:hAnsi="Arial"/>
          <w:b w:val="false"/>
          <w:bCs w:val="false"/>
          <w:color w:val="555555"/>
          <w:sz w:val="22"/>
          <w:szCs w:val="22"/>
        </w:rPr>
        <w:t xml:space="preserve">AI-generated content: AI-enhanced sections of this report are generated using third-party artificial intelligence services. AI outputs including regulatory citations, risk assessments, and remediation recommendations may contain inaccuracies or outdated information and should be independently verified.</w:t>
      </w:r>
    </w:p>
    <w:p/>
    <w:p>
      <w:pPr>
        <w:spacing w:after="60" w:before="60"/>
      </w:pPr>
      <w:r>
        <w:rPr>
          <w:rFonts w:ascii="Arial" w:cs="Arial" w:eastAsia="Arial" w:hAnsi="Arial"/>
          <w:b w:val="false"/>
          <w:bCs w:val="false"/>
          <w:color w:val="555555"/>
          <w:sz w:val="22"/>
          <w:szCs w:val="22"/>
        </w:rPr>
        <w:t xml:space="preserve">Limitation of liability: To the fullest extent permitted by law, Waivern Limited shall not be liable for any direct, indirect, incidental, special, consequential, or punitive damages arising from use of this report.</w:t>
      </w:r>
    </w:p>
    <w:p/>
    <w:p>
      <w:pPr>
        <w:spacing w:after="60" w:before="60"/>
      </w:pPr>
      <w:r>
        <w:rPr>
          <w:rFonts w:ascii="Arial" w:cs="Arial" w:eastAsia="Arial" w:hAnsi="Arial"/>
          <w:b/>
          <w:bCs/>
          <w:color w:val="555555"/>
          <w:sz w:val="22"/>
          <w:szCs w:val="22"/>
        </w:rPr>
        <w:t xml:space="preserve">You should consult qualified legal counsel familiar with your specific circumstances before taking any action based on the findings in this report.</w:t>
      </w:r>
    </w:p>
    <w:p/>
    <w:p>
      <w:pPr>
        <w:spacing w:after="60" w:before="60"/>
      </w:pPr>
      <w:r>
        <w:rPr>
          <w:rFonts w:ascii="Arial" w:cs="Arial" w:eastAsia="Arial" w:hAnsi="Arial"/>
          <w:b w:val="false"/>
          <w:bCs w:val="false"/>
          <w:color w:val="999999"/>
          <w:sz w:val="22"/>
          <w:szCs w:val="22"/>
        </w:rPr>
        <w:t xml:space="preserve">Generated by Waivern Consent Analyser.</w:t>
      </w:r>
    </w:p>
    <w:p>
      <w:pPr>
        <w:spacing w:after="60" w:before="60"/>
      </w:pPr>
      <w:r>
        <w:rPr>
          <w:rFonts w:ascii="Arial" w:cs="Arial" w:eastAsia="Arial" w:hAnsi="Arial"/>
          <w:b w:val="false"/>
          <w:bCs w:val="false"/>
          <w:color w:val="999999"/>
          <w:sz w:val="22"/>
          <w:szCs w:val="22"/>
        </w:rPr>
        <w:t xml:space="preserve">© Waivern Limited. All rights reserved.</w:t>
      </w:r>
    </w:p>
    <w:sectPr>
      <w:pgSz w:w="11906" w:h="16838"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Arial" w:cs="Arial" w:eastAsia="Arial" w:hAnsi="Arial"/>
      <w:b/>
      <w:bCs/>
      <w:color w:val="1A1A2E"/>
      <w:sz w:val="28"/>
      <w:szCs w:val="28"/>
    </w:rPr>
  </w:style>
  <w:style w:type="paragraph" w:styleId="Heading2">
    <w:name w:val="Heading 2"/>
    <w:basedOn w:val="Normal"/>
    <w:next w:val="Normal"/>
    <w:qFormat/>
    <w:pPr>
      <w:spacing w:after="120" w:before="280"/>
      <w:outlineLvl w:val="1"/>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cc61020112c16e90c69c6d96c025de79ce9524e5.jp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2026-04-04T09:51:25.489Z</dcterms:created>
  <dcterms:modified xsi:type="dcterms:W3CDTF">2026-04-04T09:51:25.490Z</dcterms:modified>
</cp:coreProperties>
</file>

<file path=docProps/custom.xml><?xml version="1.0" encoding="utf-8"?>
<Properties xmlns="http://schemas.openxmlformats.org/officeDocument/2006/custom-properties" xmlns:vt="http://schemas.openxmlformats.org/officeDocument/2006/docPropsVTypes"/>
</file>